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803" w:rsidRPr="00481803" w:rsidRDefault="00481803" w:rsidP="0048180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81803">
        <w:rPr>
          <w:rFonts w:ascii="Times New Roman" w:hAnsi="Times New Roman" w:cs="Times New Roman"/>
          <w:b/>
          <w:sz w:val="28"/>
          <w:szCs w:val="28"/>
        </w:rPr>
        <w:t>Программа внеурочной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1803">
        <w:rPr>
          <w:rFonts w:ascii="Times New Roman" w:hAnsi="Times New Roman" w:cs="Times New Roman"/>
          <w:b/>
          <w:sz w:val="28"/>
          <w:szCs w:val="28"/>
        </w:rPr>
        <w:t>деятельности по литературе</w:t>
      </w:r>
    </w:p>
    <w:p w:rsidR="00481803" w:rsidRPr="00481803" w:rsidRDefault="00481803" w:rsidP="00481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803">
        <w:rPr>
          <w:rFonts w:ascii="Times New Roman" w:hAnsi="Times New Roman" w:cs="Times New Roman"/>
          <w:b/>
          <w:sz w:val="28"/>
          <w:szCs w:val="28"/>
        </w:rPr>
        <w:t xml:space="preserve"> «Уроки волшебства»</w:t>
      </w:r>
    </w:p>
    <w:p w:rsidR="00481803" w:rsidRDefault="00481803" w:rsidP="00481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803" w:rsidRDefault="00481803" w:rsidP="004818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81803" w:rsidRDefault="00481803" w:rsidP="004818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внеурочной деятельности по литературе «Уроки волшебства» призвана помочь учителю создать не только ореол максимального погружения  в слово, в текст, но и дать возможность детям творчески переосмыслить  предоставленный для работы художественный текст, сделать его частью личностного опыта. </w:t>
      </w:r>
    </w:p>
    <w:p w:rsidR="00481803" w:rsidRDefault="00481803" w:rsidP="004818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 – выдающийся дар, переданный нам предыдущими поколениями. На плечи учителей литературы возложена обязанность не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детям об этом даре, но, что самое главное, мы должны научить понимать ценность этого дара. Ребенок должен ощутить «особую погруженность» в литературный текст,  в литературно-культурное видение мира, для этого  его нужно заинтересовать словом, очень важно показать, каким ёмким и образным оно может стать, что слово подобно  кристаллу, каждая грань которого наполнена своей краской, своим смыслом и своей историей. Задача учителя - подарить ребенку возможность ощутить себя художником, обладающего радужной палитрой красок и стремящегося словом нарисовать образ.  </w:t>
      </w:r>
    </w:p>
    <w:p w:rsidR="00481803" w:rsidRDefault="00481803" w:rsidP="004818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в большей или меньшей степени включает </w:t>
      </w:r>
      <w:r>
        <w:rPr>
          <w:rFonts w:ascii="Times New Roman" w:hAnsi="Times New Roman" w:cs="Times New Roman"/>
          <w:b/>
          <w:sz w:val="28"/>
          <w:szCs w:val="28"/>
        </w:rPr>
        <w:t>региональный компонент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, являющийся необходимым для формирования  у учащихся любви к малой родине, чувства сопричастности к литературно-культурному наследию, частью которого мы являемся, уважительного отношения к наследию народов,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проживающих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81803" w:rsidRDefault="00481803" w:rsidP="004818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рассмотрение материала, где в центре расположена не личность поэта, писателя, включенная в хронологический ряд, выдающихся мастеров слова, а некая идея (мазок красок, штрих) автора, станет основой для развития критического мышления ученика, способного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дистанцированно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сопоставить авторские стили по конкретному способу отражения поэтического мира. </w:t>
      </w:r>
    </w:p>
    <w:p w:rsidR="00481803" w:rsidRDefault="00481803" w:rsidP="00481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803" w:rsidRDefault="00481803" w:rsidP="004818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программы </w:t>
      </w:r>
      <w:r>
        <w:rPr>
          <w:rFonts w:ascii="Times New Roman" w:hAnsi="Times New Roman" w:cs="Times New Roman"/>
          <w:sz w:val="28"/>
          <w:szCs w:val="28"/>
        </w:rPr>
        <w:t>определяется тем, что умение интерпретировать литературный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современной школы становится приоритетным, поскольку  сочинение, основанное на понимании литературного текста, проблем, обозначенных в нем автором, (и даже роли языковых единиц текста), вынесено на государственный экзамен по русскому языку.</w:t>
      </w:r>
    </w:p>
    <w:p w:rsidR="00481803" w:rsidRDefault="00481803" w:rsidP="004818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«Уроки волшебства» не ставит перед собой задачу научить ребенка писать сочинение на литературную тему, программа пытается  активизировать учащихся на самостоятельное литературное творчество,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желание отразить в слове собственное мировоззрение, но на основе литературного текста.  </w:t>
      </w:r>
    </w:p>
    <w:p w:rsidR="00481803" w:rsidRDefault="00481803" w:rsidP="0048180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803" w:rsidRDefault="00481803" w:rsidP="0048180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 </w:t>
      </w:r>
    </w:p>
    <w:p w:rsidR="00481803" w:rsidRDefault="00481803" w:rsidP="004818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способствование духовному и личностному формированию ребенка, обладающего национальным самосознанием и чувством патриотизма; а также стимулирование развития креативно-интеллектуальных способностей учащегося на основе фольклорных произведений и произведений признанных мастеров слова в отечественной и зарубежной литературе.</w:t>
      </w:r>
    </w:p>
    <w:p w:rsidR="00481803" w:rsidRDefault="00481803" w:rsidP="0048180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81803" w:rsidRDefault="00481803" w:rsidP="004818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последовательно формировать  интерес к литературному наследию нашей и зарубежной культуры;</w:t>
      </w:r>
    </w:p>
    <w:p w:rsidR="00481803" w:rsidRDefault="00481803" w:rsidP="004818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представления о включенности литературы в общий (мировой) культурный процесс;</w:t>
      </w:r>
    </w:p>
    <w:p w:rsidR="00481803" w:rsidRDefault="00481803" w:rsidP="004818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формировать представление о семантической ёмкости и культурной значимости отдельных слов, используемых писателями; </w:t>
      </w:r>
    </w:p>
    <w:p w:rsidR="00481803" w:rsidRDefault="00481803" w:rsidP="004818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последовательно и целенаправленно развивать умение «видеть» текст: интерпретировать, анализировать, комментировать, находить культурологические параллели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архитипичные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образы;</w:t>
      </w:r>
    </w:p>
    <w:p w:rsidR="00481803" w:rsidRDefault="00481803" w:rsidP="004818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развивать  умение вживаться в образ литературного героя, понимать ход  его мысли, причины поступков; </w:t>
      </w:r>
    </w:p>
    <w:p w:rsidR="00481803" w:rsidRDefault="00481803" w:rsidP="004818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развивать умение выразительно и вдумчиво читать текст; </w:t>
      </w:r>
    </w:p>
    <w:p w:rsidR="00481803" w:rsidRDefault="00481803" w:rsidP="004818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стимулировать интерес учащихся к созданию собственных текстов  для расширения личностного опыта;</w:t>
      </w:r>
    </w:p>
    <w:p w:rsidR="00481803" w:rsidRDefault="00481803" w:rsidP="004818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поэтапное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умения и универсальные учебные действия (выдвигать гипотезы, формулировать выводы, искать необходимую информацию и т.д.).</w:t>
      </w:r>
    </w:p>
    <w:p w:rsidR="00481803" w:rsidRDefault="00481803" w:rsidP="004818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1803" w:rsidRDefault="00481803" w:rsidP="0048180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 занятий: </w:t>
      </w:r>
    </w:p>
    <w:p w:rsidR="00481803" w:rsidRDefault="00481803" w:rsidP="004818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удалённостью занятия ведутся через программу</w:t>
      </w:r>
      <w:r w:rsidRPr="004818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803">
        <w:rPr>
          <w:rFonts w:ascii="Times New Roman" w:hAnsi="Times New Roman" w:cs="Times New Roman"/>
          <w:sz w:val="28"/>
          <w:szCs w:val="28"/>
        </w:rPr>
        <w:t>Скайп</w:t>
      </w:r>
      <w:proofErr w:type="spellEnd"/>
      <w:r w:rsidRPr="00481803">
        <w:rPr>
          <w:rFonts w:ascii="Times New Roman" w:hAnsi="Times New Roman" w:cs="Times New Roman"/>
          <w:sz w:val="28"/>
          <w:szCs w:val="28"/>
        </w:rPr>
        <w:t xml:space="preserve"> – это очень </w:t>
      </w:r>
      <w:proofErr w:type="gramStart"/>
      <w:r w:rsidRPr="00481803">
        <w:rPr>
          <w:rFonts w:ascii="Times New Roman" w:hAnsi="Times New Roman" w:cs="Times New Roman"/>
          <w:sz w:val="28"/>
          <w:szCs w:val="28"/>
        </w:rPr>
        <w:t>удобный</w:t>
      </w:r>
      <w:proofErr w:type="gramEnd"/>
      <w:r w:rsidRPr="004818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803">
        <w:rPr>
          <w:rFonts w:ascii="Times New Roman" w:hAnsi="Times New Roman" w:cs="Times New Roman"/>
          <w:sz w:val="28"/>
          <w:szCs w:val="28"/>
        </w:rPr>
        <w:t>мессенджер</w:t>
      </w:r>
      <w:proofErr w:type="spellEnd"/>
      <w:r w:rsidRPr="00481803">
        <w:rPr>
          <w:rFonts w:ascii="Times New Roman" w:hAnsi="Times New Roman" w:cs="Times New Roman"/>
          <w:sz w:val="28"/>
          <w:szCs w:val="28"/>
        </w:rPr>
        <w:t xml:space="preserve">, позволяющий обмениваться текстовой, графической, голосовой и видео-информацией. </w:t>
      </w:r>
      <w:proofErr w:type="spellStart"/>
      <w:r w:rsidRPr="00481803">
        <w:rPr>
          <w:rFonts w:ascii="Times New Roman" w:hAnsi="Times New Roman" w:cs="Times New Roman"/>
          <w:sz w:val="28"/>
          <w:szCs w:val="28"/>
        </w:rPr>
        <w:t>Мессенджер</w:t>
      </w:r>
      <w:proofErr w:type="spellEnd"/>
      <w:r w:rsidRPr="00481803">
        <w:rPr>
          <w:rFonts w:ascii="Times New Roman" w:hAnsi="Times New Roman" w:cs="Times New Roman"/>
          <w:sz w:val="28"/>
          <w:szCs w:val="28"/>
        </w:rPr>
        <w:t xml:space="preserve"> работает посредством Интернета. </w:t>
      </w:r>
      <w:r>
        <w:rPr>
          <w:rFonts w:ascii="Times New Roman" w:hAnsi="Times New Roman" w:cs="Times New Roman"/>
          <w:sz w:val="28"/>
          <w:szCs w:val="28"/>
        </w:rPr>
        <w:t>Занятия могут проводиться как в учебном кабинете, так и в библиотеке.</w:t>
      </w:r>
    </w:p>
    <w:p w:rsidR="00481803" w:rsidRDefault="00481803" w:rsidP="004818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Вид группы</w:t>
      </w:r>
      <w:r>
        <w:rPr>
          <w:rFonts w:ascii="Times New Roman" w:hAnsi="Times New Roman" w:cs="Times New Roman"/>
          <w:sz w:val="28"/>
          <w:szCs w:val="28"/>
        </w:rPr>
        <w:t xml:space="preserve"> – профильный. </w:t>
      </w:r>
      <w:r>
        <w:rPr>
          <w:rFonts w:ascii="Times New Roman" w:hAnsi="Times New Roman" w:cs="Times New Roman"/>
          <w:b/>
          <w:sz w:val="28"/>
          <w:szCs w:val="28"/>
        </w:rPr>
        <w:t>Набор детей</w:t>
      </w:r>
      <w:r>
        <w:rPr>
          <w:rFonts w:ascii="Times New Roman" w:hAnsi="Times New Roman" w:cs="Times New Roman"/>
          <w:sz w:val="28"/>
          <w:szCs w:val="28"/>
        </w:rPr>
        <w:t xml:space="preserve"> – свободный.</w:t>
      </w:r>
    </w:p>
    <w:p w:rsidR="00481803" w:rsidRDefault="00481803" w:rsidP="004818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1803" w:rsidRDefault="00481803" w:rsidP="00F07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1803" w:rsidRDefault="00481803" w:rsidP="00481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программы.</w:t>
      </w:r>
    </w:p>
    <w:p w:rsidR="00481803" w:rsidRDefault="00481803" w:rsidP="004818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данного курса обеспечивает определенное достижение личностных, предметных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1803" w:rsidRDefault="00481803" w:rsidP="004818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1803" w:rsidRDefault="00481803" w:rsidP="004818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потребности в чтении, необходимой для познания мира и самого себя;</w:t>
      </w:r>
    </w:p>
    <w:p w:rsidR="00481803" w:rsidRDefault="00481803" w:rsidP="004818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желание литературно-творческого выражения личности  ученика;</w:t>
      </w:r>
    </w:p>
    <w:p w:rsidR="00481803" w:rsidRDefault="00481803" w:rsidP="004818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восприятие литературы как особого вида искусства;</w:t>
      </w:r>
    </w:p>
    <w:p w:rsidR="00481803" w:rsidRDefault="00481803" w:rsidP="004818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знакомство и приобщение к мировому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культурно-историческим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наследию и расширение культурологического кругозора школьников.</w:t>
      </w:r>
    </w:p>
    <w:p w:rsidR="00481803" w:rsidRDefault="00481803" w:rsidP="00481803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стремление учащихся понять глубинный смысл, заложенный автором, и создать собственный текст, в котором есть некие культурологические параллели;</w:t>
      </w:r>
    </w:p>
    <w:p w:rsidR="00481803" w:rsidRDefault="00481803" w:rsidP="00481803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желания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«эмоциональной сопричастности»  </w:t>
      </w:r>
      <w:r>
        <w:rPr>
          <w:rFonts w:ascii="Times New Roman" w:hAnsi="Times New Roman" w:cs="Times New Roman"/>
          <w:sz w:val="28"/>
          <w:szCs w:val="28"/>
        </w:rPr>
        <w:t>по отношению к литературному тексту;</w:t>
      </w:r>
    </w:p>
    <w:p w:rsidR="00481803" w:rsidRDefault="00481803" w:rsidP="00481803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положительного отношения к чужому мировоззрению или видению проблемы;</w:t>
      </w:r>
    </w:p>
    <w:p w:rsidR="00481803" w:rsidRDefault="00481803" w:rsidP="00481803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отзывчивости, доброжелательности, толерантности;</w:t>
      </w:r>
    </w:p>
    <w:p w:rsidR="00481803" w:rsidRDefault="00481803" w:rsidP="00360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1803" w:rsidRDefault="00481803" w:rsidP="004818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1803" w:rsidRDefault="00481803" w:rsidP="004818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приемами поиска нужной информации;</w:t>
      </w:r>
    </w:p>
    <w:p w:rsidR="00481803" w:rsidRDefault="00481803" w:rsidP="004818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понимание и освоение алгоритмов работы (анализа, комментирования, интерпретации);</w:t>
      </w:r>
    </w:p>
    <w:p w:rsidR="00481803" w:rsidRDefault="00481803" w:rsidP="004818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выдвигать гипотезу при интерпретации, анализе, комментировании и доказывать ее обоснованность;</w:t>
      </w:r>
    </w:p>
    <w:p w:rsidR="00481803" w:rsidRDefault="00481803" w:rsidP="004818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и активное использование приемов логики (сравнение, обобщение, синтез, анализ и др.);</w:t>
      </w:r>
    </w:p>
    <w:p w:rsidR="00481803" w:rsidRDefault="00481803" w:rsidP="004818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умением работать с информацией (выбирать главную информацию, находить ответы на интересующие вопросы);</w:t>
      </w:r>
    </w:p>
    <w:p w:rsidR="00481803" w:rsidRDefault="00481803" w:rsidP="00481803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способствование  умению развернуто и грамотно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выражать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 мысли.</w:t>
      </w:r>
    </w:p>
    <w:p w:rsidR="00481803" w:rsidRDefault="00481803" w:rsidP="00481803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формулировать проблемные вопросы и разрабатывать пути для ответа на них.</w:t>
      </w:r>
    </w:p>
    <w:p w:rsidR="00481803" w:rsidRDefault="00481803" w:rsidP="00481803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481803" w:rsidRDefault="00481803" w:rsidP="00481803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481803" w:rsidRDefault="00481803" w:rsidP="00481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определенного уровня читательского знания (опыта);</w:t>
      </w:r>
    </w:p>
    <w:p w:rsidR="00481803" w:rsidRDefault="00481803" w:rsidP="00481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приемами интерпретации художественного текста;</w:t>
      </w:r>
    </w:p>
    <w:p w:rsidR="00481803" w:rsidRDefault="00481803" w:rsidP="00481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пользоваться литературоведческими  словарями и справочниками;</w:t>
      </w:r>
    </w:p>
    <w:p w:rsidR="00481803" w:rsidRDefault="00481803" w:rsidP="00481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проектировать конструкцию собственного текста;</w:t>
      </w:r>
    </w:p>
    <w:p w:rsidR="00481803" w:rsidRDefault="00481803" w:rsidP="00481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создавать яркие, выразительные образы в собственном тексте;</w:t>
      </w:r>
    </w:p>
    <w:p w:rsidR="00481803" w:rsidRDefault="00481803" w:rsidP="00481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в устной и письменной речи нормами литературного языка;</w:t>
      </w:r>
    </w:p>
    <w:p w:rsidR="00481803" w:rsidRDefault="00481803" w:rsidP="00481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терминологической литературной базы;</w:t>
      </w:r>
    </w:p>
    <w:p w:rsidR="00481803" w:rsidRDefault="00481803" w:rsidP="00481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понимать стилистическую принадлежность слова и текста.</w:t>
      </w:r>
    </w:p>
    <w:p w:rsidR="00481803" w:rsidRDefault="00481803" w:rsidP="00481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803" w:rsidRDefault="00481803" w:rsidP="00481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53D" w:rsidRDefault="00F0753D" w:rsidP="00481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53D" w:rsidRDefault="00F0753D" w:rsidP="00481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53D" w:rsidRDefault="00F0753D" w:rsidP="00481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53D" w:rsidRDefault="00F0753D" w:rsidP="00481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53D" w:rsidRDefault="00F0753D" w:rsidP="00481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53D" w:rsidRDefault="00F0753D" w:rsidP="00481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5B" w:rsidRDefault="0036055B" w:rsidP="00481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803" w:rsidRDefault="00481803" w:rsidP="00481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 «</w:t>
      </w:r>
      <w:r w:rsidR="00F0753D">
        <w:rPr>
          <w:rFonts w:ascii="Times New Roman" w:hAnsi="Times New Roman" w:cs="Times New Roman"/>
          <w:b/>
          <w:sz w:val="28"/>
          <w:szCs w:val="28"/>
        </w:rPr>
        <w:t>Уроки волшебства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81803" w:rsidRDefault="00481803" w:rsidP="00481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0173" w:type="dxa"/>
        <w:tblInd w:w="0" w:type="dxa"/>
        <w:tblLook w:val="04A0" w:firstRow="1" w:lastRow="0" w:firstColumn="1" w:lastColumn="0" w:noHBand="0" w:noVBand="1"/>
      </w:tblPr>
      <w:tblGrid>
        <w:gridCol w:w="1668"/>
        <w:gridCol w:w="6945"/>
        <w:gridCol w:w="1560"/>
      </w:tblGrid>
      <w:tr w:rsidR="007F378F" w:rsidTr="00F51A9C">
        <w:trPr>
          <w:trHeight w:val="654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78F" w:rsidRDefault="007F3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78F" w:rsidRDefault="007F3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раздела \ тема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378F" w:rsidRDefault="007F3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78F" w:rsidTr="007F378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78F" w:rsidRDefault="007F37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Введение.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78F" w:rsidRDefault="007F37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78F" w:rsidRDefault="007F37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78F" w:rsidTr="007F378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78F" w:rsidRDefault="007F3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78F" w:rsidRDefault="007F3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Особый мир литературы – мир волшебства.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78F" w:rsidRDefault="007F3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378F" w:rsidTr="007F378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78F" w:rsidRDefault="007F37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1.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78F" w:rsidRDefault="007F37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Волшебство  народной сказки.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78F" w:rsidRDefault="007F37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78F" w:rsidTr="007F378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78F" w:rsidRDefault="007F3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78F" w:rsidRDefault="007F378F" w:rsidP="00764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чём «Курочка Ряба?»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78F" w:rsidRDefault="007F378F" w:rsidP="00764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378F" w:rsidTr="007F378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78F" w:rsidRDefault="007F3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78F" w:rsidRDefault="007F3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«Колобок»- трагическая сказка?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78F" w:rsidRDefault="007F3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F378F" w:rsidTr="007F378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78F" w:rsidRDefault="007F3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78F" w:rsidRDefault="007F3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нога костяная?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78F" w:rsidRDefault="007F3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F378F" w:rsidTr="007F378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78F" w:rsidRPr="0076491F" w:rsidRDefault="007F37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2.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78F" w:rsidRDefault="007F3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91F">
              <w:rPr>
                <w:rFonts w:ascii="Times New Roman" w:hAnsi="Times New Roman" w:cs="Times New Roman"/>
                <w:b/>
                <w:sz w:val="28"/>
                <w:szCs w:val="28"/>
              </w:rPr>
              <w:t>Волшебство литературной сказки.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78F" w:rsidRPr="0076491F" w:rsidRDefault="007F37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78F" w:rsidTr="007F378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78F" w:rsidRDefault="007F3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78F" w:rsidRDefault="007F3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живут ангелы?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«Ангел» Г.Х. Андерсен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78F" w:rsidRDefault="007F3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F378F" w:rsidTr="007F378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78F" w:rsidRDefault="007F3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78F" w:rsidRDefault="007F3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по-разному можно взрослеть… «Снежная королева» Г.Х. Андерсен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78F" w:rsidRDefault="007F3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F378F" w:rsidTr="007F378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78F" w:rsidRDefault="007F3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78F" w:rsidRDefault="007F3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Дуракам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везёт? П.П. Ершов «Конек-горбунок»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78F" w:rsidRDefault="007F3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F378F" w:rsidTr="007F378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78F" w:rsidRDefault="007F3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78F" w:rsidRDefault="007F3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9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 самолюбии</w:t>
            </w:r>
            <w:r w:rsidRPr="007649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r w:rsidRPr="007649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самонадеянности</w:t>
            </w:r>
            <w:r w:rsidRPr="0076491F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В.М. Гаршин «Черная курица, или подземные жители»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78F" w:rsidRPr="0076491F" w:rsidRDefault="007F378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</w:tr>
      <w:tr w:rsidR="007F378F" w:rsidTr="007F378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78F" w:rsidRPr="0076491F" w:rsidRDefault="007F3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78F" w:rsidRPr="0076491F" w:rsidRDefault="007F3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«Только-то? — думала она».</w:t>
            </w:r>
            <w:r>
              <w:t xml:space="preserve"> </w:t>
            </w:r>
            <w:r w:rsidRPr="007649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В. М. Гаршин.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proofErr w:type="spellStart"/>
            <w:r w:rsidRPr="007649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Attalea</w:t>
            </w:r>
            <w:proofErr w:type="spellEnd"/>
            <w:r w:rsidRPr="007649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649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princeps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78F" w:rsidRDefault="007F378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</w:t>
            </w:r>
          </w:p>
        </w:tc>
      </w:tr>
      <w:tr w:rsidR="007F378F" w:rsidTr="007F378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78F" w:rsidRPr="0076491F" w:rsidRDefault="007F3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78F" w:rsidRPr="0076491F" w:rsidRDefault="007F378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Такие разные девочки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«Двенадцать месяцев» С. Я. Маршак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78F" w:rsidRDefault="007F378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</w:t>
            </w:r>
          </w:p>
        </w:tc>
      </w:tr>
      <w:tr w:rsidR="007F378F" w:rsidTr="007F378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78F" w:rsidRPr="0076491F" w:rsidRDefault="007F3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78F" w:rsidRDefault="00FE389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E389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Кто он</w:t>
            </w:r>
            <w:proofErr w:type="gramStart"/>
            <w:r w:rsidRPr="00FE389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а-</w:t>
            </w:r>
            <w:proofErr w:type="gramEnd"/>
            <w:r w:rsidRPr="00FE389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Хозяйка медной горы?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78F" w:rsidRDefault="00FE389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</w:t>
            </w:r>
          </w:p>
        </w:tc>
      </w:tr>
      <w:tr w:rsidR="007F378F" w:rsidTr="00FE389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78F" w:rsidRDefault="00FE38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3.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78F" w:rsidRDefault="00FE38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Волшебство реальности.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78F" w:rsidRDefault="007F37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78F" w:rsidTr="00FE389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78F" w:rsidRDefault="007F3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78F" w:rsidRDefault="00FE3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Коробочка правды с Н.В. Гоголем. «Вечера на хуторе близ Диканьки»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78F" w:rsidRDefault="00360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</w:tr>
      <w:tr w:rsidR="007F378F" w:rsidTr="00FE389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78F" w:rsidRDefault="007F3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78F" w:rsidRDefault="00360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5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36055B"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proofErr w:type="gramEnd"/>
            <w:r w:rsidRPr="0036055B">
              <w:rPr>
                <w:rFonts w:ascii="Times New Roman" w:hAnsi="Times New Roman" w:cs="Times New Roman"/>
                <w:sz w:val="28"/>
                <w:szCs w:val="28"/>
              </w:rPr>
              <w:t xml:space="preserve"> ж был денёк!»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 Лермонтов «Бородино»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78F" w:rsidRDefault="00360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</w:tr>
      <w:tr w:rsidR="0036055B" w:rsidTr="00FE389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55B" w:rsidRDefault="00360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55B" w:rsidRPr="0036055B" w:rsidRDefault="00360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«Муму» о собаке?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55B" w:rsidRDefault="00360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</w:tr>
      <w:tr w:rsidR="007F378F" w:rsidTr="00FE389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78F" w:rsidRDefault="007F3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78F" w:rsidRDefault="00360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55B">
              <w:rPr>
                <w:rFonts w:ascii="Times New Roman" w:hAnsi="Times New Roman" w:cs="Times New Roman"/>
                <w:sz w:val="28"/>
                <w:szCs w:val="28"/>
              </w:rPr>
              <w:t>И зачем же я сочинил такую историю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Ф.М. Достоевский «Мальчик у Христа на ёлке?»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78F" w:rsidRDefault="00360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F378F" w:rsidTr="00FE389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78F" w:rsidRDefault="007F3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78F" w:rsidRDefault="00360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Простые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чудес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Андрея Платонова.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78F" w:rsidRDefault="00360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F378F" w:rsidTr="00FE389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78F" w:rsidRDefault="007F3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78F" w:rsidRDefault="00360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Реальность волшебства Рея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Бредбери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78F" w:rsidRDefault="00360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F378F" w:rsidTr="00FE389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78F" w:rsidRDefault="007F3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78F" w:rsidRDefault="00360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«Калейдоскоп чудес»</w:t>
            </w:r>
            <w:r w:rsidR="00C40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0761">
              <w:rPr>
                <w:rFonts w:ascii="Times New Roman" w:hAnsi="Times New Roman" w:cs="Times New Roman"/>
                <w:sz w:val="28"/>
                <w:szCs w:val="28"/>
              </w:rPr>
              <w:t>Купинского</w:t>
            </w:r>
            <w:proofErr w:type="spellEnd"/>
            <w:r w:rsidR="00C40761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Новосибирской области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78F" w:rsidRDefault="00360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40761"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</w:p>
        </w:tc>
      </w:tr>
      <w:tr w:rsidR="007F378F" w:rsidTr="00FE389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78F" w:rsidRDefault="007F3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78F" w:rsidRDefault="00360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Резервное занятие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78F" w:rsidRDefault="00360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40761">
              <w:rPr>
                <w:rFonts w:ascii="Times New Roman" w:hAnsi="Times New Roman" w:cs="Times New Roman"/>
                <w:sz w:val="28"/>
                <w:szCs w:val="28"/>
              </w:rPr>
              <w:t>-26</w:t>
            </w:r>
          </w:p>
        </w:tc>
      </w:tr>
    </w:tbl>
    <w:p w:rsidR="00C40761" w:rsidRDefault="00C40761" w:rsidP="00481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761" w:rsidRDefault="00C40761" w:rsidP="00481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803" w:rsidRDefault="00481803" w:rsidP="00481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Список литературы и</w:t>
      </w:r>
      <w:r w:rsidR="003605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6055B">
        <w:rPr>
          <w:rFonts w:ascii="Times New Roman" w:hAnsi="Times New Roman" w:cs="Times New Roman"/>
          <w:b/>
          <w:sz w:val="28"/>
          <w:szCs w:val="28"/>
        </w:rPr>
        <w:t>интернет-ресурсов</w:t>
      </w:r>
      <w:proofErr w:type="spellEnd"/>
    </w:p>
    <w:p w:rsidR="00481803" w:rsidRDefault="00481803" w:rsidP="00481803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Афанасьев А.Н. Мифы, поверья и суеверия славян. В 3тт. - М.: 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;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Terra</w:t>
      </w:r>
      <w:r w:rsidRPr="004818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Fantastica</w:t>
      </w:r>
      <w:proofErr w:type="spellEnd"/>
      <w:r>
        <w:rPr>
          <w:rFonts w:ascii="Times New Roman" w:hAnsi="Times New Roman" w:cs="Times New Roman"/>
          <w:sz w:val="28"/>
          <w:szCs w:val="28"/>
        </w:rPr>
        <w:t>, 2002г.</w:t>
      </w:r>
    </w:p>
    <w:p w:rsidR="00481803" w:rsidRDefault="00481803" w:rsidP="00481803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Афанасьев А.Н. Народ-художник: Миф. Фольклор. Литература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ост. А.Л.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Советская Россия, 1986. – 368с.</w:t>
      </w:r>
    </w:p>
    <w:p w:rsidR="00481803" w:rsidRDefault="00481803" w:rsidP="00481803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Гоголь Н.В. Повести. – М.: Дрофа, 2002. – 288с.</w:t>
      </w:r>
    </w:p>
    <w:p w:rsidR="00481803" w:rsidRDefault="00481803" w:rsidP="00481803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Зинин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 в изучении школьного литературного курса. – М.: ООО «ТИД «Русское слово – РС», 2004. – 358 с.</w:t>
      </w:r>
    </w:p>
    <w:p w:rsidR="00481803" w:rsidRDefault="00481803" w:rsidP="00481803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 В.А. Тайны родного языка. Изд. 2-е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– Волгоград, Н.-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Волж</w:t>
      </w:r>
      <w:proofErr w:type="spellEnd"/>
      <w:r>
        <w:rPr>
          <w:rFonts w:ascii="Times New Roman" w:hAnsi="Times New Roman" w:cs="Times New Roman"/>
          <w:sz w:val="28"/>
          <w:szCs w:val="28"/>
        </w:rPr>
        <w:t>. книжное издание, 1969. – 305с.</w:t>
      </w:r>
    </w:p>
    <w:p w:rsidR="00481803" w:rsidRDefault="00481803" w:rsidP="00481803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истории русских слов: Словарь-пособие.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Школо</w:t>
      </w:r>
      <w:proofErr w:type="spellEnd"/>
      <w:r>
        <w:rPr>
          <w:rFonts w:ascii="Times New Roman" w:hAnsi="Times New Roman" w:cs="Times New Roman"/>
          <w:sz w:val="28"/>
          <w:szCs w:val="28"/>
        </w:rPr>
        <w:t>-Пресс. – 1993. – 224с.</w:t>
      </w:r>
    </w:p>
    <w:p w:rsidR="00481803" w:rsidRDefault="00481803" w:rsidP="00481803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Куприн А.И. Рассказы: Для учащихся средних и старших классов сред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колы. – М.: Просвещение, 1989. – 319с.</w:t>
      </w:r>
    </w:p>
    <w:p w:rsidR="00481803" w:rsidRDefault="00481803" w:rsidP="00481803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Литература. Учебники-хрестоматия для 5 класса средних общеобразовательных школ. – 2-е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исправленное и дополненное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Члена-корр. РАО, проф.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Маранцмана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В.Г..;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Мирзоян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– СПб: Специальная Литература», 1997. – 600 с.</w:t>
      </w:r>
    </w:p>
    <w:p w:rsidR="00481803" w:rsidRDefault="00481803" w:rsidP="00481803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Малюкович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 Сказки и мифы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карагинских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апукинских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81803" w:rsidRDefault="00481803" w:rsidP="00481803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Манн Ю.В. Гоголь в школе. – М.: ВАКО, 2007. – 368с. </w:t>
      </w:r>
    </w:p>
    <w:p w:rsidR="00481803" w:rsidRDefault="00481803" w:rsidP="00481803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Маранцман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 Литературное и речевое развитие школьников в их взаимосвязи и специфике // Литературное и речевое развитие школьников.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  <w:r>
        <w:rPr>
          <w:rFonts w:ascii="Times New Roman" w:hAnsi="Times New Roman" w:cs="Times New Roman"/>
          <w:sz w:val="28"/>
          <w:szCs w:val="28"/>
        </w:rPr>
        <w:t>1992. – 325 с.</w:t>
      </w:r>
    </w:p>
    <w:p w:rsidR="00481803" w:rsidRDefault="00481803" w:rsidP="00481803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Пушкин А.С. Повести. – М.: Дрофа, 2002. – 288с.</w:t>
      </w:r>
    </w:p>
    <w:p w:rsidR="00481803" w:rsidRDefault="00481803" w:rsidP="00481803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Морфология. Исторические корни волшебной сказки. – М.: Просвещение, 1991. – 436с.  </w:t>
      </w:r>
    </w:p>
    <w:p w:rsidR="00481803" w:rsidRDefault="00481803" w:rsidP="00481803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народные сказки. – М.: Просвещение, 1995. – 450с.</w:t>
      </w:r>
    </w:p>
    <w:p w:rsidR="00481803" w:rsidRDefault="00481803" w:rsidP="00481803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 В.С. Избранные произведения. Серия «Выдающиеся мыслители» - Ростов-на-Дону: «Феникс», 1998. – 544с.</w:t>
      </w:r>
    </w:p>
    <w:p w:rsidR="00481803" w:rsidRDefault="00481803" w:rsidP="00481803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Трубецкой Е.Н. Избранные произведения. Серия «Выдающиеся мыслители», - Ростов-на-Дону: «Феникс», 1998. – 512с. </w:t>
      </w:r>
    </w:p>
    <w:p w:rsidR="00481803" w:rsidRDefault="00481803" w:rsidP="00481803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Трунцева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 Проектирование технологических карт уроков литературы и русского языка. 5-9 классы. – М.: ВАКО, 2015. – 176с.</w:t>
      </w:r>
    </w:p>
    <w:p w:rsidR="00481803" w:rsidRDefault="00481803" w:rsidP="00481803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Образования.</w:t>
      </w:r>
    </w:p>
    <w:p w:rsidR="00481803" w:rsidRDefault="00481803" w:rsidP="00481803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Франк С.А. Сочинения. – Мн.: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, - М.: АСТ, 2000. – 800с.</w:t>
      </w:r>
    </w:p>
    <w:p w:rsidR="00481803" w:rsidRDefault="00481803" w:rsidP="00481803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Фундаментальное ядро содержания общего образования – М., 2009г.</w:t>
      </w:r>
    </w:p>
    <w:p w:rsidR="00481803" w:rsidRDefault="00481803" w:rsidP="00481803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http://nsportal.ru/shkola/literatura/library/2014/11/06/rabochaya-programma-po-literature-8-klass</w:t>
      </w:r>
    </w:p>
    <w:p w:rsidR="00481803" w:rsidRDefault="00481803" w:rsidP="00481803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http://www.christianart.ru</w:t>
        </w:r>
      </w:hyperlink>
    </w:p>
    <w:p w:rsidR="00481803" w:rsidRDefault="00481803" w:rsidP="00481803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fipi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81803" w:rsidRDefault="00481803"/>
    <w:sectPr w:rsidR="0048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3C6" w:rsidRDefault="00C863C6" w:rsidP="00481803">
      <w:r>
        <w:separator/>
      </w:r>
    </w:p>
  </w:endnote>
  <w:endnote w:type="continuationSeparator" w:id="0">
    <w:p w:rsidR="00C863C6" w:rsidRDefault="00C863C6" w:rsidP="0048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3C6" w:rsidRDefault="00C863C6" w:rsidP="00481803">
      <w:r>
        <w:separator/>
      </w:r>
    </w:p>
  </w:footnote>
  <w:footnote w:type="continuationSeparator" w:id="0">
    <w:p w:rsidR="00C863C6" w:rsidRDefault="00C863C6" w:rsidP="00481803">
      <w:r>
        <w:continuationSeparator/>
      </w:r>
    </w:p>
  </w:footnote>
  <w:footnote w:id="1">
    <w:p w:rsidR="00481803" w:rsidRDefault="00481803" w:rsidP="00481803">
      <w:pPr>
        <w:pStyle w:val="a5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Региональный компонент включает как литературное, так и историко-культурное наследие </w:t>
      </w:r>
      <w:proofErr w:type="spellStart"/>
      <w:r>
        <w:rPr>
          <w:rFonts w:ascii="Times New Roman" w:hAnsi="Times New Roman" w:cs="Times New Roman"/>
        </w:rPr>
        <w:t>Купинского</w:t>
      </w:r>
      <w:proofErr w:type="spellEnd"/>
      <w:r>
        <w:rPr>
          <w:rFonts w:ascii="Times New Roman" w:hAnsi="Times New Roman" w:cs="Times New Roman"/>
        </w:rPr>
        <w:t xml:space="preserve"> района и Новосибирской области</w:t>
      </w:r>
    </w:p>
  </w:footnote>
  <w:footnote w:id="2">
    <w:p w:rsidR="00481803" w:rsidRDefault="00481803" w:rsidP="00481803">
      <w:pPr>
        <w:pStyle w:val="a5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Федеральный Государственный Образовательный Стандарт Основного Общего Образования.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FC2"/>
    <w:multiLevelType w:val="hybridMultilevel"/>
    <w:tmpl w:val="EE225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31D8C"/>
    <w:multiLevelType w:val="hybridMultilevel"/>
    <w:tmpl w:val="CC789E3A"/>
    <w:lvl w:ilvl="0" w:tplc="B92428F6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08D1B35"/>
    <w:multiLevelType w:val="hybridMultilevel"/>
    <w:tmpl w:val="7CD68DF8"/>
    <w:lvl w:ilvl="0" w:tplc="D2A8FCEA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786D36"/>
    <w:multiLevelType w:val="hybridMultilevel"/>
    <w:tmpl w:val="74B8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966E5"/>
    <w:multiLevelType w:val="hybridMultilevel"/>
    <w:tmpl w:val="79A2B756"/>
    <w:lvl w:ilvl="0" w:tplc="E408B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528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D4B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AE2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C00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A0E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16DD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76C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801E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CCB4FDB"/>
    <w:multiLevelType w:val="hybridMultilevel"/>
    <w:tmpl w:val="8BACB1CE"/>
    <w:lvl w:ilvl="0" w:tplc="A920A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0A7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E4F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DC8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EC0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E02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FC6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889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FA1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F3023F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87223C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6D3B43DC"/>
    <w:multiLevelType w:val="hybridMultilevel"/>
    <w:tmpl w:val="D004D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885A71"/>
    <w:multiLevelType w:val="hybridMultilevel"/>
    <w:tmpl w:val="B2D07EF8"/>
    <w:lvl w:ilvl="0" w:tplc="7ABE4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FC9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BA5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645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464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B88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9CE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847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A9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37B033D"/>
    <w:multiLevelType w:val="hybridMultilevel"/>
    <w:tmpl w:val="409CEC86"/>
    <w:lvl w:ilvl="0" w:tplc="7FEAAAB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8B"/>
    <w:rsid w:val="00332BE8"/>
    <w:rsid w:val="0036055B"/>
    <w:rsid w:val="00481803"/>
    <w:rsid w:val="0076491F"/>
    <w:rsid w:val="007F378F"/>
    <w:rsid w:val="009908B3"/>
    <w:rsid w:val="00C40761"/>
    <w:rsid w:val="00C863C6"/>
    <w:rsid w:val="00CC568B"/>
    <w:rsid w:val="00F0753D"/>
    <w:rsid w:val="00FE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03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1803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481803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8180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81803"/>
    <w:rPr>
      <w:sz w:val="20"/>
      <w:szCs w:val="20"/>
    </w:rPr>
  </w:style>
  <w:style w:type="paragraph" w:styleId="a7">
    <w:name w:val="List Paragraph"/>
    <w:basedOn w:val="a"/>
    <w:uiPriority w:val="34"/>
    <w:qFormat/>
    <w:rsid w:val="00481803"/>
    <w:pPr>
      <w:ind w:left="720"/>
      <w:contextualSpacing/>
    </w:pPr>
  </w:style>
  <w:style w:type="paragraph" w:customStyle="1" w:styleId="ParagraphStyle">
    <w:name w:val="Paragraph Style"/>
    <w:rsid w:val="004818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3">
    <w:name w:val="Заголовок 3+"/>
    <w:basedOn w:val="a"/>
    <w:rsid w:val="00481803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481803"/>
    <w:rPr>
      <w:vertAlign w:val="superscript"/>
    </w:rPr>
  </w:style>
  <w:style w:type="table" w:styleId="a9">
    <w:name w:val="Table Grid"/>
    <w:basedOn w:val="a1"/>
    <w:uiPriority w:val="59"/>
    <w:rsid w:val="004818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03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1803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481803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8180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81803"/>
    <w:rPr>
      <w:sz w:val="20"/>
      <w:szCs w:val="20"/>
    </w:rPr>
  </w:style>
  <w:style w:type="paragraph" w:styleId="a7">
    <w:name w:val="List Paragraph"/>
    <w:basedOn w:val="a"/>
    <w:uiPriority w:val="34"/>
    <w:qFormat/>
    <w:rsid w:val="00481803"/>
    <w:pPr>
      <w:ind w:left="720"/>
      <w:contextualSpacing/>
    </w:pPr>
  </w:style>
  <w:style w:type="paragraph" w:customStyle="1" w:styleId="ParagraphStyle">
    <w:name w:val="Paragraph Style"/>
    <w:rsid w:val="004818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3">
    <w:name w:val="Заголовок 3+"/>
    <w:basedOn w:val="a"/>
    <w:rsid w:val="00481803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481803"/>
    <w:rPr>
      <w:vertAlign w:val="superscript"/>
    </w:rPr>
  </w:style>
  <w:style w:type="table" w:styleId="a9">
    <w:name w:val="Table Grid"/>
    <w:basedOn w:val="a1"/>
    <w:uiPriority w:val="59"/>
    <w:rsid w:val="004818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902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882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329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ristianar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2021-12-05T15:01:00Z</dcterms:created>
  <dcterms:modified xsi:type="dcterms:W3CDTF">2021-12-05T15:55:00Z</dcterms:modified>
</cp:coreProperties>
</file>